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1151" w14:textId="77777777" w:rsidR="00B93D77" w:rsidRDefault="00B93D77" w:rsidP="00B93D77">
      <w:pPr>
        <w:pStyle w:val="NormalWeb"/>
        <w:spacing w:before="0" w:beforeAutospacing="0" w:after="200" w:afterAutospacing="0"/>
        <w:rPr>
          <w:rFonts w:ascii="&amp;quot" w:hAnsi="&amp;quot"/>
          <w:color w:val="333333"/>
          <w:sz w:val="20"/>
          <w:szCs w:val="20"/>
        </w:rPr>
      </w:pPr>
      <w:r>
        <w:rPr>
          <w:rFonts w:ascii="&amp;quot" w:hAnsi="&amp;quot"/>
          <w:color w:val="333333"/>
          <w:sz w:val="20"/>
          <w:szCs w:val="20"/>
        </w:rPr>
        <w:t>Choose one of the following three topics for your primary post. Your primary post should address everything that the instructions call for (for the topic you choose). Your post should also be at least 125 words in length. Additionally, please respond to at least one other discussant on any topic.</w:t>
      </w:r>
    </w:p>
    <w:p w14:paraId="2739337C" w14:textId="77777777" w:rsidR="00B93D77" w:rsidRDefault="00B93D77" w:rsidP="00B93D77">
      <w:pPr>
        <w:pStyle w:val="NormalWeb"/>
        <w:spacing w:before="0" w:beforeAutospacing="0" w:after="0" w:afterAutospacing="0"/>
        <w:rPr>
          <w:rFonts w:ascii="&amp;quot" w:hAnsi="&amp;quot"/>
          <w:color w:val="333333"/>
          <w:sz w:val="20"/>
          <w:szCs w:val="20"/>
        </w:rPr>
      </w:pPr>
      <w:r>
        <w:rPr>
          <w:rFonts w:ascii="&amp;quot" w:hAnsi="&amp;quot"/>
          <w:b/>
          <w:bCs/>
          <w:color w:val="333333"/>
          <w:sz w:val="20"/>
          <w:szCs w:val="20"/>
          <w:u w:val="single"/>
          <w:bdr w:val="none" w:sz="0" w:space="0" w:color="auto" w:frame="1"/>
        </w:rPr>
        <w:t>Topic 1</w:t>
      </w:r>
      <w:r>
        <w:rPr>
          <w:rFonts w:ascii="&amp;quot" w:hAnsi="&amp;quot"/>
          <w:b/>
          <w:bCs/>
          <w:color w:val="333333"/>
          <w:sz w:val="20"/>
          <w:szCs w:val="20"/>
        </w:rPr>
        <w:t>. Sexual Reproduction in Unicellular</w:t>
      </w:r>
      <w:r>
        <w:rPr>
          <w:rFonts w:ascii="&amp;quot" w:hAnsi="&amp;quot"/>
          <w:color w:val="333333"/>
          <w:sz w:val="20"/>
          <w:szCs w:val="20"/>
        </w:rPr>
        <w:t xml:space="preserve"> </w:t>
      </w:r>
      <w:r>
        <w:rPr>
          <w:rFonts w:ascii="&amp;quot" w:hAnsi="&amp;quot"/>
          <w:b/>
          <w:bCs/>
          <w:color w:val="333333"/>
          <w:sz w:val="20"/>
          <w:szCs w:val="20"/>
        </w:rPr>
        <w:t>Eukaryotes</w:t>
      </w:r>
      <w:r>
        <w:rPr>
          <w:rFonts w:ascii="&amp;quot" w:hAnsi="&amp;quot"/>
          <w:color w:val="333333"/>
          <w:sz w:val="20"/>
          <w:szCs w:val="20"/>
        </w:rPr>
        <w:t>. Watch the instructor's video about "Sexual Reproduction in Unicellular Eukaryotes" (</w:t>
      </w:r>
      <w:proofErr w:type="gramStart"/>
      <w:r>
        <w:rPr>
          <w:rFonts w:ascii="&amp;quot" w:hAnsi="&amp;quot"/>
          <w:color w:val="333333"/>
          <w:sz w:val="20"/>
          <w:szCs w:val="20"/>
        </w:rPr>
        <w:t>1)*</w:t>
      </w:r>
      <w:proofErr w:type="gramEnd"/>
      <w:r>
        <w:rPr>
          <w:rFonts w:ascii="&amp;quot" w:hAnsi="&amp;quot"/>
          <w:color w:val="333333"/>
          <w:sz w:val="20"/>
          <w:szCs w:val="20"/>
        </w:rPr>
        <w:t xml:space="preserve"> which can be found in the Instructor Insights section for this week. For a single-celled species to be capable of sexual reproduction, the species must have both haploid and diploid forms</w:t>
      </w:r>
    </w:p>
    <w:p w14:paraId="5878D49E" w14:textId="77777777" w:rsidR="00B93D77" w:rsidRDefault="00B93D77" w:rsidP="00B93D77">
      <w:pPr>
        <w:pStyle w:val="NormalWeb"/>
        <w:numPr>
          <w:ilvl w:val="0"/>
          <w:numId w:val="1"/>
        </w:numPr>
        <w:spacing w:before="0" w:beforeAutospacing="0" w:after="200" w:afterAutospacing="0"/>
        <w:ind w:left="0"/>
        <w:rPr>
          <w:rFonts w:ascii="&amp;quot" w:hAnsi="&amp;quot"/>
          <w:color w:val="333333"/>
          <w:sz w:val="20"/>
          <w:szCs w:val="20"/>
        </w:rPr>
      </w:pPr>
      <w:r>
        <w:rPr>
          <w:rFonts w:ascii="&amp;quot" w:hAnsi="&amp;quot"/>
          <w:color w:val="333333"/>
          <w:sz w:val="20"/>
          <w:szCs w:val="20"/>
        </w:rPr>
        <w:t>(a) Describe four things that you learned from the video.</w:t>
      </w:r>
    </w:p>
    <w:p w14:paraId="2E81908F" w14:textId="77777777" w:rsidR="00B93D77" w:rsidRDefault="00B93D77" w:rsidP="00B93D77">
      <w:pPr>
        <w:pStyle w:val="NormalWeb"/>
        <w:numPr>
          <w:ilvl w:val="0"/>
          <w:numId w:val="1"/>
        </w:numPr>
        <w:spacing w:before="0" w:beforeAutospacing="0" w:after="200" w:afterAutospacing="0"/>
        <w:ind w:left="0"/>
        <w:rPr>
          <w:rFonts w:ascii="&amp;quot" w:hAnsi="&amp;quot"/>
          <w:color w:val="333333"/>
          <w:sz w:val="20"/>
          <w:szCs w:val="20"/>
        </w:rPr>
      </w:pPr>
      <w:r>
        <w:rPr>
          <w:rFonts w:ascii="&amp;quot" w:hAnsi="&amp;quot"/>
          <w:color w:val="333333"/>
          <w:sz w:val="20"/>
          <w:szCs w:val="20"/>
        </w:rPr>
        <w:t>(b) Explain how this relates to this week’s lesson.</w:t>
      </w:r>
    </w:p>
    <w:p w14:paraId="3B938BA7" w14:textId="77777777" w:rsidR="00B93D77" w:rsidRDefault="00B93D77" w:rsidP="00B93D77">
      <w:pPr>
        <w:pStyle w:val="NormalWeb"/>
        <w:spacing w:before="0" w:beforeAutospacing="0" w:after="0" w:afterAutospacing="0"/>
        <w:rPr>
          <w:rFonts w:ascii="&amp;quot" w:hAnsi="&amp;quot"/>
          <w:color w:val="333333"/>
          <w:sz w:val="20"/>
          <w:szCs w:val="20"/>
        </w:rPr>
      </w:pPr>
      <w:r>
        <w:rPr>
          <w:rFonts w:ascii="&amp;quot" w:hAnsi="&amp;quot"/>
          <w:b/>
          <w:bCs/>
          <w:color w:val="333333"/>
          <w:sz w:val="20"/>
          <w:szCs w:val="20"/>
          <w:u w:val="single"/>
          <w:bdr w:val="none" w:sz="0" w:space="0" w:color="auto" w:frame="1"/>
        </w:rPr>
        <w:t>Topic 2</w:t>
      </w:r>
      <w:r>
        <w:rPr>
          <w:rFonts w:ascii="&amp;quot" w:hAnsi="&amp;quot"/>
          <w:b/>
          <w:bCs/>
          <w:color w:val="333333"/>
          <w:sz w:val="20"/>
          <w:szCs w:val="20"/>
        </w:rPr>
        <w:t>. Apoptosis</w:t>
      </w:r>
      <w:r>
        <w:rPr>
          <w:rFonts w:ascii="&amp;quot" w:hAnsi="&amp;quot"/>
          <w:color w:val="333333"/>
          <w:sz w:val="20"/>
          <w:szCs w:val="20"/>
        </w:rPr>
        <w:t>. Watch the Khan Academy video about apoptosis (</w:t>
      </w:r>
      <w:proofErr w:type="gramStart"/>
      <w:r>
        <w:rPr>
          <w:rFonts w:ascii="&amp;quot" w:hAnsi="&amp;quot"/>
          <w:color w:val="333333"/>
          <w:sz w:val="20"/>
          <w:szCs w:val="20"/>
        </w:rPr>
        <w:t>2)*</w:t>
      </w:r>
      <w:proofErr w:type="gramEnd"/>
      <w:r>
        <w:rPr>
          <w:rFonts w:ascii="&amp;quot" w:hAnsi="&amp;quot"/>
          <w:color w:val="333333"/>
          <w:sz w:val="20"/>
          <w:szCs w:val="20"/>
        </w:rPr>
        <w:t>, then address the following issues in your own words:</w:t>
      </w:r>
    </w:p>
    <w:p w14:paraId="26614702" w14:textId="77777777" w:rsidR="00B93D77" w:rsidRDefault="00B93D77" w:rsidP="00B93D77">
      <w:pPr>
        <w:pStyle w:val="NormalWeb"/>
        <w:numPr>
          <w:ilvl w:val="0"/>
          <w:numId w:val="2"/>
        </w:numPr>
        <w:spacing w:before="0" w:beforeAutospacing="0" w:after="200" w:afterAutospacing="0"/>
        <w:ind w:left="0"/>
        <w:rPr>
          <w:rFonts w:ascii="&amp;quot" w:hAnsi="&amp;quot"/>
          <w:color w:val="333333"/>
          <w:sz w:val="20"/>
          <w:szCs w:val="20"/>
        </w:rPr>
      </w:pPr>
      <w:r>
        <w:rPr>
          <w:rFonts w:ascii="&amp;quot" w:hAnsi="&amp;quot"/>
          <w:color w:val="333333"/>
          <w:sz w:val="20"/>
          <w:szCs w:val="20"/>
        </w:rPr>
        <w:t>(a) What is the difference between apoptosis and necrosis?</w:t>
      </w:r>
    </w:p>
    <w:p w14:paraId="7CEDDA2F" w14:textId="77777777" w:rsidR="00B93D77" w:rsidRDefault="00B93D77" w:rsidP="00B93D77">
      <w:pPr>
        <w:pStyle w:val="NormalWeb"/>
        <w:numPr>
          <w:ilvl w:val="0"/>
          <w:numId w:val="2"/>
        </w:numPr>
        <w:spacing w:before="0" w:beforeAutospacing="0" w:after="200" w:afterAutospacing="0"/>
        <w:ind w:left="0"/>
        <w:rPr>
          <w:rFonts w:ascii="&amp;quot" w:hAnsi="&amp;quot"/>
          <w:color w:val="333333"/>
          <w:sz w:val="20"/>
          <w:szCs w:val="20"/>
        </w:rPr>
      </w:pPr>
      <w:r>
        <w:rPr>
          <w:rFonts w:ascii="&amp;quot" w:hAnsi="&amp;quot"/>
          <w:color w:val="333333"/>
          <w:sz w:val="20"/>
          <w:szCs w:val="20"/>
        </w:rPr>
        <w:t>(b) What is the role of apoptosis in the normal, healthy development of animals?</w:t>
      </w:r>
    </w:p>
    <w:p w14:paraId="4BD841B2" w14:textId="77777777" w:rsidR="00B93D77" w:rsidRDefault="00B93D77" w:rsidP="00B93D77">
      <w:pPr>
        <w:pStyle w:val="NormalWeb"/>
        <w:numPr>
          <w:ilvl w:val="0"/>
          <w:numId w:val="2"/>
        </w:numPr>
        <w:spacing w:before="0" w:beforeAutospacing="0" w:after="0" w:afterAutospacing="0"/>
        <w:ind w:left="0"/>
        <w:rPr>
          <w:rFonts w:ascii="&amp;quot" w:hAnsi="&amp;quot"/>
          <w:color w:val="333333"/>
          <w:sz w:val="20"/>
          <w:szCs w:val="20"/>
        </w:rPr>
      </w:pPr>
      <w:r>
        <w:rPr>
          <w:rFonts w:ascii="&amp;quot" w:hAnsi="&amp;quot"/>
          <w:i/>
          <w:iCs/>
          <w:color w:val="333333"/>
          <w:sz w:val="20"/>
          <w:szCs w:val="20"/>
          <w:bdr w:val="none" w:sz="0" w:space="0" w:color="auto" w:frame="1"/>
        </w:rPr>
        <w:t xml:space="preserve">Reminder: you don't need to cite the Khan Academy video for this topic, but if you use any other sources, you </w:t>
      </w:r>
      <w:r>
        <w:rPr>
          <w:rFonts w:ascii="&amp;quot" w:hAnsi="&amp;quot"/>
          <w:i/>
          <w:iCs/>
          <w:color w:val="333333"/>
          <w:sz w:val="20"/>
          <w:szCs w:val="20"/>
          <w:u w:val="single"/>
          <w:bdr w:val="none" w:sz="0" w:space="0" w:color="auto" w:frame="1"/>
        </w:rPr>
        <w:t>must</w:t>
      </w:r>
      <w:r>
        <w:rPr>
          <w:rFonts w:ascii="&amp;quot" w:hAnsi="&amp;quot"/>
          <w:i/>
          <w:iCs/>
          <w:color w:val="333333"/>
          <w:sz w:val="20"/>
          <w:szCs w:val="20"/>
          <w:bdr w:val="none" w:sz="0" w:space="0" w:color="auto" w:frame="1"/>
        </w:rPr>
        <w:t xml:space="preserve"> cite them.</w:t>
      </w:r>
    </w:p>
    <w:p w14:paraId="425D36FC" w14:textId="77777777" w:rsidR="00B93D77" w:rsidRDefault="00B93D77" w:rsidP="00B93D77">
      <w:pPr>
        <w:pStyle w:val="NormalWeb"/>
        <w:spacing w:before="0" w:beforeAutospacing="0" w:after="0" w:afterAutospacing="0"/>
        <w:rPr>
          <w:rFonts w:ascii="&amp;quot" w:hAnsi="&amp;quot"/>
          <w:color w:val="333333"/>
          <w:sz w:val="20"/>
          <w:szCs w:val="20"/>
        </w:rPr>
      </w:pPr>
      <w:r>
        <w:rPr>
          <w:rFonts w:ascii="&amp;quot" w:hAnsi="&amp;quot"/>
          <w:b/>
          <w:bCs/>
          <w:color w:val="333333"/>
          <w:sz w:val="20"/>
          <w:szCs w:val="20"/>
          <w:u w:val="single"/>
          <w:bdr w:val="none" w:sz="0" w:space="0" w:color="auto" w:frame="1"/>
        </w:rPr>
        <w:t>Topic 3</w:t>
      </w:r>
      <w:r>
        <w:rPr>
          <w:rFonts w:ascii="&amp;quot" w:hAnsi="&amp;quot"/>
          <w:b/>
          <w:bCs/>
          <w:color w:val="333333"/>
          <w:sz w:val="20"/>
          <w:szCs w:val="20"/>
        </w:rPr>
        <w:t xml:space="preserve">. Tumor-suppressor genes versus Proto-oncogenes. </w:t>
      </w:r>
      <w:r>
        <w:rPr>
          <w:rFonts w:ascii="&amp;quot" w:hAnsi="&amp;quot"/>
          <w:color w:val="333333"/>
          <w:sz w:val="20"/>
          <w:szCs w:val="20"/>
        </w:rPr>
        <w:t xml:space="preserve">This is a library-research topic in which </w:t>
      </w:r>
      <w:r>
        <w:rPr>
          <w:rFonts w:ascii="&amp;quot" w:hAnsi="&amp;quot"/>
          <w:color w:val="333333"/>
          <w:sz w:val="20"/>
          <w:szCs w:val="20"/>
          <w:u w:val="single"/>
          <w:bdr w:val="none" w:sz="0" w:space="0" w:color="auto" w:frame="1"/>
        </w:rPr>
        <w:t>you are required to provide your sources</w:t>
      </w:r>
      <w:r>
        <w:rPr>
          <w:rFonts w:ascii="&amp;quot" w:hAnsi="&amp;quot"/>
          <w:color w:val="333333"/>
          <w:sz w:val="20"/>
          <w:szCs w:val="20"/>
        </w:rPr>
        <w:t>. Mutations in tumor suppressor genes can contribute to or cause cancer, just as mutations in proto-oncogenes can also contribute to or cause cancer. However, tumor suppressor genes are very different from proto-oncogenes.</w:t>
      </w:r>
    </w:p>
    <w:p w14:paraId="0D133BEA" w14:textId="77777777" w:rsidR="00B93D77" w:rsidRDefault="00B93D77" w:rsidP="00B93D77">
      <w:pPr>
        <w:pStyle w:val="NormalWeb"/>
        <w:numPr>
          <w:ilvl w:val="0"/>
          <w:numId w:val="3"/>
        </w:numPr>
        <w:spacing w:before="0" w:beforeAutospacing="0" w:after="200" w:afterAutospacing="0"/>
        <w:ind w:left="0"/>
        <w:rPr>
          <w:rFonts w:ascii="&amp;quot" w:hAnsi="&amp;quot"/>
          <w:color w:val="333333"/>
          <w:sz w:val="20"/>
          <w:szCs w:val="20"/>
        </w:rPr>
      </w:pPr>
      <w:r>
        <w:rPr>
          <w:rFonts w:ascii="&amp;quot" w:hAnsi="&amp;quot"/>
          <w:color w:val="333333"/>
          <w:sz w:val="20"/>
          <w:szCs w:val="20"/>
        </w:rPr>
        <w:t>(a) What is the basic difference between a tumor suppressor gene and a proto-oncogene?</w:t>
      </w:r>
    </w:p>
    <w:p w14:paraId="35EE35BB" w14:textId="77777777" w:rsidR="00B93D77" w:rsidRDefault="00B93D77" w:rsidP="00B93D77">
      <w:pPr>
        <w:pStyle w:val="NormalWeb"/>
        <w:numPr>
          <w:ilvl w:val="0"/>
          <w:numId w:val="3"/>
        </w:numPr>
        <w:spacing w:before="0" w:beforeAutospacing="0" w:after="200" w:afterAutospacing="0"/>
        <w:ind w:left="0"/>
        <w:rPr>
          <w:rFonts w:ascii="&amp;quot" w:hAnsi="&amp;quot"/>
          <w:color w:val="333333"/>
          <w:sz w:val="20"/>
          <w:szCs w:val="20"/>
        </w:rPr>
      </w:pPr>
      <w:r>
        <w:rPr>
          <w:rFonts w:ascii="&amp;quot" w:hAnsi="&amp;quot"/>
          <w:color w:val="333333"/>
          <w:sz w:val="20"/>
          <w:szCs w:val="20"/>
        </w:rPr>
        <w:t>(b) Explain why a gain-of-function mutation to a proto-oncogene (or its promoter) may be associated with increased risk of cancer.</w:t>
      </w:r>
    </w:p>
    <w:p w14:paraId="0E9029D8" w14:textId="77777777" w:rsidR="00B93D77" w:rsidRDefault="00B93D77" w:rsidP="00B93D77">
      <w:pPr>
        <w:pStyle w:val="NormalWeb"/>
        <w:numPr>
          <w:ilvl w:val="0"/>
          <w:numId w:val="3"/>
        </w:numPr>
        <w:spacing w:before="0" w:beforeAutospacing="0" w:after="200" w:afterAutospacing="0"/>
        <w:ind w:left="0"/>
        <w:rPr>
          <w:rFonts w:ascii="&amp;quot" w:hAnsi="&amp;quot"/>
          <w:color w:val="333333"/>
          <w:sz w:val="20"/>
          <w:szCs w:val="20"/>
        </w:rPr>
      </w:pPr>
      <w:r>
        <w:rPr>
          <w:rFonts w:ascii="&amp;quot" w:hAnsi="&amp;quot"/>
          <w:color w:val="333333"/>
          <w:sz w:val="20"/>
          <w:szCs w:val="20"/>
        </w:rPr>
        <w:t>(c) Explain why a loss-of-function mutation to a tumor suppressor gene may be associated with increased risk of cancer.</w:t>
      </w:r>
    </w:p>
    <w:p w14:paraId="4BA1EDF4" w14:textId="77777777" w:rsidR="00B93D77" w:rsidRDefault="00B93D77" w:rsidP="00B93D77">
      <w:pPr>
        <w:pStyle w:val="NormalWeb"/>
        <w:spacing w:before="0" w:beforeAutospacing="0" w:after="0" w:afterAutospacing="0"/>
        <w:rPr>
          <w:rFonts w:ascii="&amp;quot" w:hAnsi="&amp;quot"/>
          <w:color w:val="333333"/>
          <w:sz w:val="20"/>
          <w:szCs w:val="20"/>
        </w:rPr>
      </w:pPr>
      <w:r>
        <w:rPr>
          <w:rFonts w:ascii="&amp;quot" w:hAnsi="&amp;quot"/>
          <w:color w:val="333333"/>
          <w:sz w:val="20"/>
          <w:szCs w:val="20"/>
          <w:u w:val="single"/>
          <w:bdr w:val="none" w:sz="0" w:space="0" w:color="auto" w:frame="1"/>
        </w:rPr>
        <w:t xml:space="preserve">References: </w:t>
      </w:r>
    </w:p>
    <w:p w14:paraId="1E32831B" w14:textId="77777777" w:rsidR="00B93D77" w:rsidRDefault="00B93D77" w:rsidP="00B93D77">
      <w:pPr>
        <w:pStyle w:val="NormalWeb"/>
        <w:numPr>
          <w:ilvl w:val="0"/>
          <w:numId w:val="4"/>
        </w:numPr>
        <w:spacing w:before="0" w:beforeAutospacing="0" w:after="0" w:afterAutospacing="0"/>
        <w:ind w:left="0"/>
        <w:rPr>
          <w:rFonts w:ascii="&amp;quot" w:hAnsi="&amp;quot"/>
          <w:color w:val="333333"/>
          <w:sz w:val="20"/>
          <w:szCs w:val="20"/>
        </w:rPr>
      </w:pPr>
      <w:r>
        <w:rPr>
          <w:rFonts w:ascii="&amp;quot" w:hAnsi="&amp;quot"/>
          <w:color w:val="333333"/>
          <w:sz w:val="20"/>
          <w:szCs w:val="20"/>
        </w:rPr>
        <w:t xml:space="preserve">James Cox, April 15, 2018, Sexual reproduction in a unicellular eukaryote (version 2). See the video in the </w:t>
      </w:r>
      <w:r>
        <w:rPr>
          <w:rStyle w:val="Emphasis"/>
          <w:rFonts w:ascii="&amp;quot" w:hAnsi="&amp;quot"/>
          <w:color w:val="333333"/>
          <w:sz w:val="20"/>
          <w:szCs w:val="20"/>
          <w:bdr w:val="none" w:sz="0" w:space="0" w:color="auto" w:frame="1"/>
        </w:rPr>
        <w:t>Week 5 Instructor Insights</w:t>
      </w:r>
      <w:r>
        <w:rPr>
          <w:rFonts w:ascii="&amp;quot" w:hAnsi="&amp;quot"/>
          <w:color w:val="333333"/>
          <w:sz w:val="20"/>
          <w:szCs w:val="20"/>
        </w:rPr>
        <w:t xml:space="preserve"> or the following link </w:t>
      </w:r>
      <w:hyperlink r:id="rId5" w:tgtFrame="_blank" w:history="1">
        <w:r>
          <w:rPr>
            <w:rStyle w:val="Hyperlink"/>
            <w:rFonts w:ascii="&amp;quot" w:hAnsi="&amp;quot"/>
            <w:color w:val="C02027"/>
            <w:sz w:val="20"/>
            <w:szCs w:val="20"/>
            <w:bdr w:val="none" w:sz="0" w:space="0" w:color="auto" w:frame="1"/>
          </w:rPr>
          <w:t>https://cdnapisec.kaltura.com/index.php/extwidget/preview/partner_id/956951/uiconf_id/38285871/entry_id/0_7ruy782g/embed/dynamic</w:t>
        </w:r>
      </w:hyperlink>
    </w:p>
    <w:p w14:paraId="12DC7801" w14:textId="1A2DC93D" w:rsidR="00B93D77" w:rsidRDefault="00B93D77" w:rsidP="00B93D77">
      <w:pPr>
        <w:pStyle w:val="NormalWeb"/>
        <w:numPr>
          <w:ilvl w:val="0"/>
          <w:numId w:val="4"/>
        </w:numPr>
        <w:spacing w:before="0" w:beforeAutospacing="0" w:after="0" w:afterAutospacing="0"/>
        <w:ind w:left="0"/>
        <w:rPr>
          <w:rFonts w:ascii="&amp;quot" w:hAnsi="&amp;quot"/>
          <w:color w:val="333333"/>
          <w:sz w:val="20"/>
          <w:szCs w:val="20"/>
        </w:rPr>
      </w:pPr>
      <w:r>
        <w:rPr>
          <w:rFonts w:ascii="&amp;quot" w:hAnsi="&amp;quot"/>
          <w:color w:val="333333"/>
          <w:sz w:val="20"/>
          <w:szCs w:val="20"/>
        </w:rPr>
        <w:t xml:space="preserve">Khan Academy, No date given, Apoptosis [video], </w:t>
      </w:r>
      <w:hyperlink r:id="rId6" w:tgtFrame="_blank" w:history="1">
        <w:r>
          <w:rPr>
            <w:rStyle w:val="Hyperlink"/>
            <w:rFonts w:ascii="&amp;quot" w:hAnsi="&amp;quot"/>
            <w:color w:val="C02027"/>
            <w:sz w:val="20"/>
            <w:szCs w:val="20"/>
            <w:bdr w:val="none" w:sz="0" w:space="0" w:color="auto" w:frame="1"/>
          </w:rPr>
          <w:t>https://www.khanacademy.org/science/biology/cellular-molecular-biology/stem-cells-and-cancer/v/apoptosis</w:t>
        </w:r>
      </w:hyperlink>
    </w:p>
    <w:p w14:paraId="698DF211" w14:textId="058C5CE8" w:rsidR="00B93D77" w:rsidRDefault="00B93D77" w:rsidP="00B93D77">
      <w:pPr>
        <w:pStyle w:val="NormalWeb"/>
        <w:spacing w:before="0" w:beforeAutospacing="0" w:after="0" w:afterAutospacing="0"/>
        <w:rPr>
          <w:rFonts w:ascii="&amp;quot" w:hAnsi="&amp;quot"/>
          <w:color w:val="333333"/>
          <w:sz w:val="20"/>
          <w:szCs w:val="20"/>
        </w:rPr>
      </w:pPr>
    </w:p>
    <w:p w14:paraId="74D4E4E1" w14:textId="265D7936" w:rsidR="00B93D77" w:rsidRDefault="00B93D77" w:rsidP="00B93D77">
      <w:pPr>
        <w:pStyle w:val="NormalWeb"/>
        <w:spacing w:before="0" w:beforeAutospacing="0" w:after="0" w:afterAutospacing="0"/>
        <w:rPr>
          <w:rFonts w:ascii="&amp;quot" w:hAnsi="&amp;quot"/>
          <w:color w:val="333333"/>
          <w:sz w:val="20"/>
          <w:szCs w:val="20"/>
        </w:rPr>
      </w:pPr>
    </w:p>
    <w:p w14:paraId="6AFFCEA0" w14:textId="72A6D14C" w:rsidR="00B93D77" w:rsidRDefault="00B93D77" w:rsidP="00B93D77">
      <w:pPr>
        <w:pStyle w:val="NormalWeb"/>
        <w:spacing w:before="0" w:beforeAutospacing="0" w:after="0" w:afterAutospacing="0"/>
        <w:rPr>
          <w:rFonts w:ascii="&amp;quot" w:hAnsi="&amp;quot"/>
          <w:color w:val="333333"/>
          <w:sz w:val="20"/>
          <w:szCs w:val="20"/>
        </w:rPr>
      </w:pPr>
    </w:p>
    <w:p w14:paraId="04B85683" w14:textId="77777777" w:rsidR="00B93D77" w:rsidRDefault="00B93D77" w:rsidP="00B93D77">
      <w:pPr>
        <w:pStyle w:val="NormalWeb"/>
        <w:spacing w:before="0" w:beforeAutospacing="0" w:after="0" w:afterAutospacing="0"/>
        <w:rPr>
          <w:rFonts w:ascii="&amp;quot" w:hAnsi="&amp;quot"/>
          <w:color w:val="333333"/>
          <w:sz w:val="20"/>
          <w:szCs w:val="20"/>
        </w:rPr>
      </w:pPr>
    </w:p>
    <w:p w14:paraId="2EF485FF" w14:textId="77777777" w:rsidR="00B93D77" w:rsidRDefault="00B93D77" w:rsidP="00B93D77">
      <w:pPr>
        <w:pStyle w:val="NormalWeb"/>
        <w:spacing w:before="0" w:beforeAutospacing="0" w:after="0" w:afterAutospacing="0"/>
        <w:rPr>
          <w:rFonts w:ascii="&amp;quot" w:hAnsi="&amp;quot"/>
          <w:color w:val="333333"/>
          <w:sz w:val="20"/>
          <w:szCs w:val="20"/>
        </w:rPr>
      </w:pPr>
    </w:p>
    <w:p w14:paraId="1200B0E3" w14:textId="205E38C2" w:rsidR="00B93D77" w:rsidRPr="00B93D77" w:rsidRDefault="00B93D77" w:rsidP="00B93D77">
      <w:pPr>
        <w:pStyle w:val="ListParagraph"/>
        <w:numPr>
          <w:ilvl w:val="1"/>
          <w:numId w:val="3"/>
        </w:numPr>
        <w:spacing w:after="200" w:line="240" w:lineRule="auto"/>
        <w:rPr>
          <w:rFonts w:ascii="&amp;quot" w:eastAsia="Times New Roman" w:hAnsi="&amp;quot" w:cs="Times New Roman"/>
          <w:color w:val="333333"/>
          <w:sz w:val="20"/>
          <w:szCs w:val="20"/>
        </w:rPr>
      </w:pPr>
      <w:r w:rsidRPr="00B93D77">
        <w:rPr>
          <w:rFonts w:ascii="&amp;quot" w:eastAsia="Times New Roman" w:hAnsi="&amp;quot" w:cs="Times New Roman"/>
          <w:color w:val="333333"/>
          <w:sz w:val="20"/>
          <w:szCs w:val="20"/>
        </w:rPr>
        <w:t>"Health Care Professionals and Allied Health Professionals</w:t>
      </w:r>
      <w:proofErr w:type="gramStart"/>
      <w:r w:rsidRPr="00B93D77">
        <w:rPr>
          <w:rFonts w:ascii="&amp;quot" w:eastAsia="Times New Roman" w:hAnsi="&amp;quot" w:cs="Times New Roman"/>
          <w:color w:val="333333"/>
          <w:sz w:val="20"/>
          <w:szCs w:val="20"/>
        </w:rPr>
        <w:t>"  Please</w:t>
      </w:r>
      <w:proofErr w:type="gramEnd"/>
      <w:r w:rsidRPr="00B93D77">
        <w:rPr>
          <w:rFonts w:ascii="&amp;quot" w:eastAsia="Times New Roman" w:hAnsi="&amp;quot" w:cs="Times New Roman"/>
          <w:color w:val="333333"/>
          <w:sz w:val="20"/>
          <w:szCs w:val="20"/>
        </w:rPr>
        <w:t xml:space="preserve"> respond to the following:</w:t>
      </w:r>
    </w:p>
    <w:p w14:paraId="3F8EB1FB" w14:textId="77777777" w:rsidR="00B93D77" w:rsidRPr="00B93D77" w:rsidRDefault="00B93D77" w:rsidP="00B93D77">
      <w:pPr>
        <w:numPr>
          <w:ilvl w:val="0"/>
          <w:numId w:val="5"/>
        </w:numPr>
        <w:spacing w:after="0" w:line="240" w:lineRule="auto"/>
        <w:ind w:left="0"/>
        <w:rPr>
          <w:rFonts w:ascii="&amp;quot" w:eastAsia="Times New Roman" w:hAnsi="&amp;quot" w:cs="Times New Roman"/>
          <w:color w:val="333333"/>
          <w:sz w:val="20"/>
          <w:szCs w:val="20"/>
        </w:rPr>
      </w:pPr>
      <w:r w:rsidRPr="00B93D77">
        <w:rPr>
          <w:rFonts w:ascii="&amp;quot" w:eastAsia="Times New Roman" w:hAnsi="&amp;quot" w:cs="Times New Roman"/>
          <w:color w:val="333333"/>
          <w:sz w:val="20"/>
          <w:szCs w:val="20"/>
        </w:rPr>
        <w:t>Analyze two career options in the health care industry, in terms of the educational requirements, job responsibilities, and average salaries.</w:t>
      </w:r>
    </w:p>
    <w:p w14:paraId="604EC8E4" w14:textId="77777777" w:rsidR="00B93D77" w:rsidRPr="00B93D77" w:rsidRDefault="00B93D77" w:rsidP="00B93D77">
      <w:pPr>
        <w:numPr>
          <w:ilvl w:val="0"/>
          <w:numId w:val="5"/>
        </w:numPr>
        <w:spacing w:after="0" w:line="240" w:lineRule="auto"/>
        <w:ind w:left="0"/>
        <w:rPr>
          <w:rFonts w:ascii="&amp;quot" w:eastAsia="Times New Roman" w:hAnsi="&amp;quot" w:cs="Times New Roman"/>
          <w:color w:val="333333"/>
          <w:sz w:val="20"/>
          <w:szCs w:val="20"/>
        </w:rPr>
      </w:pPr>
      <w:r w:rsidRPr="00B93D77">
        <w:rPr>
          <w:rFonts w:ascii="&amp;quot" w:eastAsia="Times New Roman" w:hAnsi="&amp;quot" w:cs="Times New Roman"/>
          <w:color w:val="333333"/>
          <w:sz w:val="20"/>
          <w:szCs w:val="20"/>
        </w:rPr>
        <w:t>From the e-Activity, discuss two differences between health care professionals and allied health care professionals. Provide specific examples to support your rationale.</w:t>
      </w:r>
    </w:p>
    <w:p w14:paraId="6EB7059D" w14:textId="497DC372" w:rsidR="00B93D77" w:rsidRDefault="00B93D77"/>
    <w:p w14:paraId="39EC55EC" w14:textId="1911F7FE" w:rsidR="00B93D77" w:rsidRPr="00B93D77" w:rsidRDefault="00B93D77" w:rsidP="00B93D77">
      <w:pPr>
        <w:pStyle w:val="ListParagraph"/>
        <w:numPr>
          <w:ilvl w:val="1"/>
          <w:numId w:val="3"/>
        </w:numPr>
        <w:spacing w:after="200" w:line="240" w:lineRule="auto"/>
        <w:rPr>
          <w:rFonts w:ascii="&amp;quot" w:eastAsia="Times New Roman" w:hAnsi="&amp;quot" w:cs="Times New Roman"/>
          <w:color w:val="333333"/>
          <w:sz w:val="20"/>
          <w:szCs w:val="20"/>
        </w:rPr>
      </w:pPr>
      <w:bookmarkStart w:id="0" w:name="_GoBack"/>
      <w:bookmarkEnd w:id="0"/>
      <w:r w:rsidRPr="00B93D77">
        <w:rPr>
          <w:rFonts w:ascii="&amp;quot" w:eastAsia="Times New Roman" w:hAnsi="&amp;quot" w:cs="Times New Roman"/>
          <w:color w:val="333333"/>
          <w:sz w:val="20"/>
          <w:szCs w:val="20"/>
        </w:rPr>
        <w:t>Nursing Shortages"  Please respond to the following:</w:t>
      </w:r>
    </w:p>
    <w:p w14:paraId="3AA9082A" w14:textId="77777777" w:rsidR="00B93D77" w:rsidRPr="00B93D77" w:rsidRDefault="00B93D77" w:rsidP="00B93D77">
      <w:pPr>
        <w:numPr>
          <w:ilvl w:val="0"/>
          <w:numId w:val="6"/>
        </w:numPr>
        <w:spacing w:after="0" w:line="240" w:lineRule="auto"/>
        <w:ind w:left="0"/>
        <w:rPr>
          <w:rFonts w:ascii="&amp;quot" w:eastAsia="Times New Roman" w:hAnsi="&amp;quot" w:cs="Times New Roman"/>
          <w:color w:val="333333"/>
          <w:sz w:val="20"/>
          <w:szCs w:val="20"/>
        </w:rPr>
      </w:pPr>
      <w:r w:rsidRPr="00B93D77">
        <w:rPr>
          <w:rFonts w:ascii="&amp;quot" w:eastAsia="Times New Roman" w:hAnsi="&amp;quot" w:cs="Times New Roman"/>
          <w:color w:val="333333"/>
          <w:sz w:val="20"/>
          <w:szCs w:val="20"/>
        </w:rPr>
        <w:t>Suggest two factors that are contributing to the current state of the nursing industry in the U.S. Focus on both internal and external influences. Provide specific examples to support your rationale.</w:t>
      </w:r>
    </w:p>
    <w:p w14:paraId="01AB0D67" w14:textId="77777777" w:rsidR="00B93D77" w:rsidRPr="00B93D77" w:rsidRDefault="00B93D77" w:rsidP="00B93D77">
      <w:pPr>
        <w:numPr>
          <w:ilvl w:val="0"/>
          <w:numId w:val="6"/>
        </w:numPr>
        <w:spacing w:after="0" w:line="240" w:lineRule="auto"/>
        <w:ind w:left="0"/>
        <w:rPr>
          <w:rFonts w:ascii="&amp;quot" w:eastAsia="Times New Roman" w:hAnsi="&amp;quot" w:cs="Times New Roman"/>
          <w:color w:val="333333"/>
          <w:sz w:val="20"/>
          <w:szCs w:val="20"/>
        </w:rPr>
      </w:pPr>
      <w:r w:rsidRPr="00B93D77">
        <w:rPr>
          <w:rFonts w:ascii="&amp;quot" w:eastAsia="Times New Roman" w:hAnsi="&amp;quot" w:cs="Times New Roman"/>
          <w:color w:val="333333"/>
          <w:sz w:val="20"/>
          <w:szCs w:val="20"/>
        </w:rPr>
        <w:lastRenderedPageBreak/>
        <w:t xml:space="preserve">Analyze two issues that contribute to the current nursing shortage in the </w:t>
      </w:r>
      <w:proofErr w:type="gramStart"/>
      <w:r w:rsidRPr="00B93D77">
        <w:rPr>
          <w:rFonts w:ascii="&amp;quot" w:eastAsia="Times New Roman" w:hAnsi="&amp;quot" w:cs="Times New Roman"/>
          <w:color w:val="333333"/>
          <w:sz w:val="20"/>
          <w:szCs w:val="20"/>
        </w:rPr>
        <w:t>U.S., and</w:t>
      </w:r>
      <w:proofErr w:type="gramEnd"/>
      <w:r w:rsidRPr="00B93D77">
        <w:rPr>
          <w:rFonts w:ascii="&amp;quot" w:eastAsia="Times New Roman" w:hAnsi="&amp;quot" w:cs="Times New Roman"/>
          <w:color w:val="333333"/>
          <w:sz w:val="20"/>
          <w:szCs w:val="20"/>
        </w:rPr>
        <w:t xml:space="preserve"> propose a strategy to rectify this employment issue.</w:t>
      </w:r>
    </w:p>
    <w:p w14:paraId="341770A8" w14:textId="77777777" w:rsidR="00B93D77" w:rsidRDefault="00B93D77"/>
    <w:sectPr w:rsidR="00B9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A6E"/>
    <w:multiLevelType w:val="multilevel"/>
    <w:tmpl w:val="9768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10E92"/>
    <w:multiLevelType w:val="multilevel"/>
    <w:tmpl w:val="5A0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9855B5"/>
    <w:multiLevelType w:val="multilevel"/>
    <w:tmpl w:val="B366E4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FB4DA2"/>
    <w:multiLevelType w:val="multilevel"/>
    <w:tmpl w:val="1F08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3D0063"/>
    <w:multiLevelType w:val="multilevel"/>
    <w:tmpl w:val="148A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426E5"/>
    <w:multiLevelType w:val="multilevel"/>
    <w:tmpl w:val="8EC2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77"/>
    <w:rsid w:val="00A6620F"/>
    <w:rsid w:val="00B93D77"/>
    <w:rsid w:val="00D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DD9F"/>
  <w15:chartTrackingRefBased/>
  <w15:docId w15:val="{0CAA84B5-B267-4840-8D42-0F85C46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D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D77"/>
    <w:rPr>
      <w:i/>
      <w:iCs/>
    </w:rPr>
  </w:style>
  <w:style w:type="character" w:styleId="Hyperlink">
    <w:name w:val="Hyperlink"/>
    <w:basedOn w:val="DefaultParagraphFont"/>
    <w:uiPriority w:val="99"/>
    <w:semiHidden/>
    <w:unhideWhenUsed/>
    <w:rsid w:val="00B93D77"/>
    <w:rPr>
      <w:color w:val="0000FF"/>
      <w:u w:val="single"/>
    </w:rPr>
  </w:style>
  <w:style w:type="paragraph" w:styleId="ListParagraph">
    <w:name w:val="List Paragraph"/>
    <w:basedOn w:val="Normal"/>
    <w:uiPriority w:val="34"/>
    <w:qFormat/>
    <w:rsid w:val="00B9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995452">
      <w:bodyDiv w:val="1"/>
      <w:marLeft w:val="0"/>
      <w:marRight w:val="0"/>
      <w:marTop w:val="0"/>
      <w:marBottom w:val="0"/>
      <w:divBdr>
        <w:top w:val="none" w:sz="0" w:space="0" w:color="auto"/>
        <w:left w:val="none" w:sz="0" w:space="0" w:color="auto"/>
        <w:bottom w:val="none" w:sz="0" w:space="0" w:color="auto"/>
        <w:right w:val="none" w:sz="0" w:space="0" w:color="auto"/>
      </w:divBdr>
    </w:div>
    <w:div w:id="1655068350">
      <w:bodyDiv w:val="1"/>
      <w:marLeft w:val="0"/>
      <w:marRight w:val="0"/>
      <w:marTop w:val="0"/>
      <w:marBottom w:val="0"/>
      <w:divBdr>
        <w:top w:val="none" w:sz="0" w:space="0" w:color="auto"/>
        <w:left w:val="none" w:sz="0" w:space="0" w:color="auto"/>
        <w:bottom w:val="none" w:sz="0" w:space="0" w:color="auto"/>
        <w:right w:val="none" w:sz="0" w:space="0" w:color="auto"/>
      </w:divBdr>
    </w:div>
    <w:div w:id="188883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science/biology/cellular-molecular-biology/stem-cells-and-cancer/v/apoptosis" TargetMode="External"/><Relationship Id="rId5" Type="http://schemas.openxmlformats.org/officeDocument/2006/relationships/hyperlink" Target="https://cdnapisec.kaltura.com/index.php/extwidget/preview/partner_id/956951/uiconf_id/38285871/entry_id/0_7ruy782g/embed/dyna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2018-08-02T02:18:00Z</dcterms:created>
  <dcterms:modified xsi:type="dcterms:W3CDTF">2018-08-02T02:20:00Z</dcterms:modified>
</cp:coreProperties>
</file>