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480"/>
        <w:rPr/>
      </w:pPr>
      <w:r>
        <w:rPr>
          <w:rFonts w:cs="Times New Roman" w:ascii="Times New Roman" w:hAnsi="Times New Roman"/>
          <w:color w:val="252525"/>
          <w:sz w:val="24"/>
          <w:szCs w:val="24"/>
          <w:shd w:fill="FFFFFF" w:val="clear"/>
        </w:rPr>
        <w:t>Pochie Mccollough</w:t>
      </w:r>
    </w:p>
    <w:p>
      <w:pPr>
        <w:pStyle w:val="Normal"/>
        <w:spacing w:lineRule="auto" w:line="480"/>
        <w:rPr/>
      </w:pPr>
      <w:r>
        <w:rPr>
          <w:rFonts w:cs="Times New Roman" w:ascii="Times New Roman" w:hAnsi="Times New Roman"/>
          <w:color w:val="252525"/>
          <w:sz w:val="24"/>
          <w:szCs w:val="24"/>
          <w:shd w:fill="FFFFFF" w:val="clear"/>
        </w:rPr>
        <w:t>Fredrick Lawrence</w:t>
      </w:r>
    </w:p>
    <w:p>
      <w:pPr>
        <w:pStyle w:val="Normal"/>
        <w:spacing w:lineRule="auto" w:line="480"/>
        <w:rPr/>
      </w:pPr>
      <w:r>
        <w:rPr>
          <w:rFonts w:cs="Times New Roman" w:ascii="Times New Roman" w:hAnsi="Times New Roman"/>
          <w:color w:val="252525"/>
          <w:sz w:val="24"/>
          <w:szCs w:val="24"/>
          <w:shd w:fill="FFFFFF" w:val="clear"/>
        </w:rPr>
        <w:t>OPSCB/574</w:t>
      </w:r>
    </w:p>
    <w:p>
      <w:pPr>
        <w:pStyle w:val="Normal"/>
        <w:spacing w:lineRule="auto" w:line="480"/>
        <w:rPr/>
      </w:pPr>
      <w:r>
        <w:rPr>
          <w:rFonts w:cs="Times New Roman" w:ascii="Times New Roman" w:hAnsi="Times New Roman"/>
          <w:color w:val="252525"/>
          <w:sz w:val="24"/>
          <w:szCs w:val="24"/>
          <w:shd w:fill="FFFFFF" w:val="clear"/>
        </w:rPr>
        <w:t>02/20/2022</w:t>
      </w:r>
    </w:p>
    <w:p>
      <w:pPr>
        <w:pStyle w:val="Normal"/>
        <w:jc w:val="center"/>
        <w:rPr>
          <w:rFonts w:ascii="Times New Roman" w:hAnsi="Times New Roman" w:cs="Times New Roman"/>
          <w:color w:val="252525"/>
          <w:sz w:val="24"/>
          <w:szCs w:val="24"/>
          <w:highlight w:val="white"/>
        </w:rPr>
      </w:pPr>
      <w:r>
        <w:rPr>
          <w:rFonts w:cs="Times New Roman" w:ascii="Times New Roman" w:hAnsi="Times New Roman"/>
          <w:b/>
          <w:bCs/>
          <w:color w:val="252525"/>
          <w:sz w:val="24"/>
          <w:szCs w:val="24"/>
          <w:shd w:fill="FFFFFF" w:val="clear"/>
        </w:rPr>
        <w:t>Business Management</w:t>
      </w:r>
    </w:p>
    <w:p>
      <w:pPr>
        <w:pStyle w:val="Normal"/>
        <w:rPr>
          <w:rFonts w:ascii="Times New Roman" w:hAnsi="Times New Roman" w:cs="Times New Roman"/>
          <w:b/>
          <w:b/>
          <w:color w:val="252525"/>
          <w:sz w:val="24"/>
          <w:szCs w:val="24"/>
          <w:highlight w:val="white"/>
        </w:rPr>
      </w:pPr>
      <w:r>
        <w:rPr/>
      </w:r>
    </w:p>
    <w:p>
      <w:pPr>
        <w:pStyle w:val="Normal"/>
        <w:spacing w:lineRule="auto" w:line="480"/>
        <w:ind w:firstLine="720"/>
        <w:rPr>
          <w:rFonts w:ascii="Times New Roman" w:hAnsi="Times New Roman" w:cs="Times New Roman"/>
          <w:color w:val="252525"/>
          <w:sz w:val="24"/>
          <w:szCs w:val="24"/>
          <w:highlight w:val="white"/>
        </w:rPr>
      </w:pPr>
      <w:r>
        <w:rPr>
          <w:rFonts w:cs="Times New Roman" w:ascii="Times New Roman" w:hAnsi="Times New Roman"/>
          <w:color w:val="252525"/>
          <w:sz w:val="24"/>
          <w:szCs w:val="24"/>
          <w:shd w:fill="FFFFFF" w:val="clear"/>
        </w:rPr>
        <w:t>Considering a reactive multiserver queueing platform that can work with either dedicated or pooled queues. Clients are time-delicate, and they select either to join or leave based on line length information when they arrive; there is no external entrance control (</w:t>
      </w:r>
      <w:r>
        <w:rPr>
          <w:rFonts w:cs="Times New Roman" w:ascii="Times New Roman" w:hAnsi="Times New Roman"/>
          <w:sz w:val="24"/>
          <w:szCs w:val="24"/>
        </w:rPr>
        <w:t>Leeuwaarden, 2020</w:t>
      </w:r>
      <w:r>
        <w:rPr>
          <w:rFonts w:cs="Times New Roman" w:ascii="Times New Roman" w:hAnsi="Times New Roman"/>
          <w:color w:val="252525"/>
          <w:sz w:val="24"/>
          <w:szCs w:val="24"/>
          <w:shd w:fill="FFFFFF" w:val="clear"/>
        </w:rPr>
        <w:t>). In this context, we show that, contrary to popular belief, pooling queues can raise the lengthy mean sojourn duration to the point that, within certain situations, the pooled system has strictly lower social utility than the dedicated system.</w:t>
      </w:r>
    </w:p>
    <w:p>
      <w:pPr>
        <w:pStyle w:val="Normal"/>
        <w:spacing w:lineRule="auto" w:line="480"/>
        <w:ind w:firstLine="720"/>
        <w:rPr>
          <w:rFonts w:ascii="Times New Roman" w:hAnsi="Times New Roman" w:cs="Times New Roman"/>
          <w:color w:val="252525"/>
          <w:sz w:val="24"/>
          <w:szCs w:val="24"/>
          <w:highlight w:val="white"/>
        </w:rPr>
      </w:pPr>
      <w:r>
        <w:rPr>
          <w:rFonts w:cs="Times New Roman" w:ascii="Times New Roman" w:hAnsi="Times New Roman"/>
          <w:color w:val="252525"/>
          <w:sz w:val="24"/>
          <w:szCs w:val="24"/>
          <w:shd w:fill="FFFFFF" w:val="clear"/>
        </w:rPr>
        <w:t>We show that pooling queues can result in significant performance loss (</w:t>
      </w:r>
      <w:r>
        <w:rPr>
          <w:rFonts w:cs="Times New Roman" w:ascii="Times New Roman" w:hAnsi="Times New Roman"/>
          <w:sz w:val="24"/>
          <w:szCs w:val="24"/>
        </w:rPr>
        <w:t>Leeuwaarden, 2020</w:t>
      </w:r>
      <w:r>
        <w:rPr>
          <w:rFonts w:cs="Times New Roman" w:ascii="Times New Roman" w:hAnsi="Times New Roman"/>
          <w:color w:val="252525"/>
          <w:sz w:val="24"/>
          <w:szCs w:val="24"/>
          <w:shd w:fill="FFFFFF" w:val="clear"/>
        </w:rPr>
        <w:t>). It is widely believed that using a merged queue instead of individual queues is preferable, owing to the fact that pooling queues reduces long-term average throughput time. When resources are few, queues might form. In any firm, some queuing is acceptable because the lack of a queue would indicate a costly overcapacity.</w:t>
      </w:r>
    </w:p>
    <w:p>
      <w:pPr>
        <w:pStyle w:val="Normal"/>
        <w:spacing w:lineRule="auto" w:line="480"/>
        <w:ind w:firstLine="720"/>
        <w:rPr>
          <w:rFonts w:ascii="Times New Roman" w:hAnsi="Times New Roman" w:cs="Times New Roman"/>
          <w:color w:val="252525"/>
          <w:sz w:val="24"/>
          <w:szCs w:val="24"/>
          <w:highlight w:val="white"/>
        </w:rPr>
      </w:pPr>
      <w:r>
        <w:rPr>
          <w:rFonts w:cs="Times New Roman" w:ascii="Times New Roman" w:hAnsi="Times New Roman"/>
          <w:color w:val="252525"/>
          <w:sz w:val="24"/>
          <w:szCs w:val="24"/>
          <w:shd w:fill="FFFFFF" w:val="clear"/>
        </w:rPr>
        <w:t>Because it causes pauses in the production chain, variation is a main reason of waste in a manufacturing system. Variation dissipates in the supply chain and affects productivity; as a result, variations must be managed with extreme caution to decrease the impacts. You can drive to your facility's processing restrictions and specification limits by decreasing the unpredictability of key control factors. There are numerous methods for reducing unpredictability. A Model Predictive Control (MPC) system is among the most effective and less expensive methods (</w:t>
      </w:r>
      <w:r>
        <w:rPr>
          <w:rFonts w:cs="Times New Roman" w:ascii="Times New Roman" w:hAnsi="Times New Roman"/>
          <w:sz w:val="24"/>
          <w:szCs w:val="24"/>
        </w:rPr>
        <w:t>Anon, 2021</w:t>
      </w:r>
      <w:r>
        <w:rPr>
          <w:rFonts w:cs="Times New Roman" w:ascii="Times New Roman" w:hAnsi="Times New Roman"/>
          <w:color w:val="252525"/>
          <w:sz w:val="24"/>
          <w:szCs w:val="24"/>
          <w:shd w:fill="FFFFFF" w:val="clear"/>
        </w:rPr>
        <w:t>). Most businesses, particularly those in the restaurant business, are under stress to decrease and scuffle while boosting harvest. As a result, it's critical to embark on this information adventure with a consultant who is familiar with MPC and the process.</w:t>
      </w:r>
    </w:p>
    <w:p>
      <w:pPr>
        <w:pStyle w:val="Normal"/>
        <w:spacing w:lineRule="auto" w:line="480"/>
        <w:ind w:firstLine="720"/>
        <w:rPr>
          <w:rFonts w:ascii="Times New Roman" w:hAnsi="Times New Roman" w:cs="Times New Roman"/>
          <w:color w:val="252525"/>
          <w:sz w:val="24"/>
          <w:szCs w:val="24"/>
          <w:highlight w:val="white"/>
        </w:rPr>
      </w:pPr>
      <w:r>
        <w:rPr>
          <w:rFonts w:cs="Times New Roman" w:ascii="Times New Roman" w:hAnsi="Times New Roman"/>
          <w:color w:val="252525"/>
          <w:sz w:val="24"/>
          <w:szCs w:val="24"/>
          <w:shd w:fill="FFFFFF" w:val="clear"/>
        </w:rPr>
        <w:t>A construction project is one that involves construction work and includes design, planning, and preparation. A construction project is a temporary location or project that is being developed, renovated, or demolished and has limited accessibility.</w:t>
      </w:r>
    </w:p>
    <w:p>
      <w:pPr>
        <w:pStyle w:val="Normal"/>
        <w:spacing w:lineRule="auto" w:line="480"/>
        <w:ind w:firstLine="720"/>
        <w:rPr>
          <w:rFonts w:ascii="Times New Roman" w:hAnsi="Times New Roman" w:cs="Times New Roman"/>
          <w:color w:val="252525"/>
          <w:sz w:val="24"/>
          <w:szCs w:val="24"/>
          <w:highlight w:val="white"/>
        </w:rPr>
      </w:pPr>
      <w:r>
        <w:rPr>
          <w:rFonts w:cs="Times New Roman" w:ascii="Times New Roman" w:hAnsi="Times New Roman"/>
          <w:color w:val="252525"/>
          <w:sz w:val="24"/>
          <w:szCs w:val="24"/>
          <w:shd w:fill="FFFFFF" w:val="clear"/>
        </w:rPr>
        <w:t>The Work Breakdown Structure (WBS) is an implementable course of dividing work that the project squad must complete so as to meet the job's goals and provide the necessary deliverables. A WBS is crucial for positive job preparation, performance, control, checking, and reporting. The WBS's task was documented, gauged, strategic, and funded in its entirety. The Work Breakdown Structure was utilized by entrepreneurs and site supervisors to make a complex project more manageable. The WBS is used to dissolve a task into smaller, more manageable portions.</w:t>
      </w:r>
    </w:p>
    <w:p>
      <w:pPr>
        <w:pStyle w:val="Normal"/>
        <w:spacing w:lineRule="auto" w:line="480"/>
        <w:ind w:firstLine="720"/>
        <w:rPr>
          <w:rFonts w:ascii="Times New Roman" w:hAnsi="Times New Roman" w:cs="Times New Roman"/>
          <w:color w:val="252525"/>
          <w:sz w:val="24"/>
          <w:szCs w:val="24"/>
          <w:highlight w:val="white"/>
        </w:rPr>
      </w:pPr>
      <w:r>
        <w:rPr>
          <w:rFonts w:cs="Times New Roman" w:ascii="Times New Roman" w:hAnsi="Times New Roman"/>
          <w:color w:val="252525"/>
          <w:sz w:val="24"/>
          <w:szCs w:val="24"/>
          <w:shd w:fill="FFFFFF" w:val="clear"/>
        </w:rPr>
        <w:t>Teams can use critical path to determine the most critical activities and tasks. I was on a vital route, based on my experience. Project leaders, in the wider definition, are responsible for preparation, organizing, and overseeing the carrying out of precise activities for an enterprise while certifying that they are finished on schedule, on cost, and also within possibility. It was the circumstance in the project, thus the manager played an important part in ensuring its success.</w:t>
      </w:r>
      <w:r>
        <w:br w:type="page"/>
      </w:r>
    </w:p>
    <w:p>
      <w:pPr>
        <w:pStyle w:val="Normal"/>
        <w:spacing w:lineRule="auto" w:line="480"/>
        <w:jc w:val="center"/>
        <w:rPr>
          <w:rFonts w:ascii="Times New Roman" w:hAnsi="Times New Roman" w:cs="Times New Roman"/>
          <w:sz w:val="24"/>
          <w:szCs w:val="24"/>
        </w:rPr>
      </w:pPr>
      <w:r>
        <w:rPr>
          <w:rFonts w:cs="Times New Roman" w:ascii="Times New Roman" w:hAnsi="Times New Roman"/>
          <w:sz w:val="24"/>
          <w:szCs w:val="24"/>
        </w:rPr>
        <w:t>Work Cited</w:t>
      </w:r>
    </w:p>
    <w:p>
      <w:pPr>
        <w:pStyle w:val="NormalWeb"/>
        <w:spacing w:lineRule="auto" w:line="480" w:before="280" w:after="280"/>
        <w:ind w:left="720" w:hanging="720"/>
        <w:rPr/>
      </w:pPr>
      <w:r>
        <w:rPr/>
        <w:t xml:space="preserve">Anon, What is a bottleneck and how to deal with it? </w:t>
      </w:r>
      <w:r>
        <w:rPr>
          <w:i/>
          <w:iCs/>
        </w:rPr>
        <w:t>Kanban Software for Agile Project Management</w:t>
      </w:r>
      <w:r>
        <w:rPr/>
        <w:t>. https://kanbanize.com/lean-management/pull/what-is-bottleneck</w:t>
      </w:r>
    </w:p>
    <w:p>
      <w:pPr>
        <w:pStyle w:val="NormalWeb"/>
        <w:spacing w:lineRule="auto" w:line="480" w:before="280" w:after="280"/>
        <w:ind w:left="720" w:hanging="720"/>
        <w:rPr>
          <w:lang w:val="de-DE"/>
        </w:rPr>
      </w:pPr>
      <w:r>
        <w:rPr/>
        <w:t xml:space="preserve">Anon, 2017. Eight steps to a 'lean manufacturing' approach. </w:t>
      </w:r>
      <w:r>
        <w:rPr>
          <w:i/>
          <w:iCs/>
          <w:lang w:val="de-DE"/>
        </w:rPr>
        <w:t>PKF Mueller</w:t>
      </w:r>
      <w:r>
        <w:rPr>
          <w:lang w:val="de-DE"/>
        </w:rPr>
        <w:t xml:space="preserve">. https://www.pkfmueller.com/newsletters/eight-steps-lean-manufacturing-approach </w:t>
      </w:r>
    </w:p>
    <w:p>
      <w:pPr>
        <w:pStyle w:val="NormalWeb"/>
        <w:spacing w:lineRule="auto" w:line="480" w:before="280" w:after="280"/>
        <w:ind w:left="720" w:hanging="720"/>
        <w:rPr/>
      </w:pPr>
      <w:r>
        <w:rPr/>
        <w:t xml:space="preserve">Leeuwaarden, J.S.H.van, Mathijsen, B.W.J. &amp; Zwart, B., Economies-of-scale in many-server queuing systems: Tutorial and partial review of the QED Halfin-Whitt heavy-traffic regime. </w:t>
      </w:r>
      <w:r>
        <w:rPr>
          <w:i/>
          <w:iCs/>
        </w:rPr>
        <w:t>Tilburg University Research Portal</w:t>
      </w:r>
      <w:r>
        <w:rPr/>
        <w:t>. https://research.tilburguniversity.edu/en/publications/economies-of-scale-in-many-server-queuing-systems-tutorial-and-pa</w:t>
      </w:r>
    </w:p>
    <w:p>
      <w:pPr>
        <w:pStyle w:val="NormalWeb"/>
        <w:spacing w:lineRule="auto" w:line="480" w:before="280" w:after="280"/>
        <w:ind w:left="720" w:hanging="720"/>
        <w:rPr/>
      </w:pPr>
      <w:r>
        <w:rPr/>
        <w:t>Anon, Pooled vs. dedicated queues when customers are delay-sensitive. https://www.researchgate.net/publication/348637868_Pooled_vs_Dedicated_Queues_when_Customers_Are_Delay-Sensitive</w:t>
      </w:r>
    </w:p>
    <w:p>
      <w:pPr>
        <w:pStyle w:val="NormalWeb"/>
        <w:spacing w:lineRule="auto" w:line="480" w:before="280" w:after="280"/>
        <w:ind w:left="720" w:hanging="720"/>
        <w:rPr/>
      </w:pPr>
      <w:r>
        <w:rPr/>
        <w:t xml:space="preserve">Anon, Reduce variability to improve capacity and quality: Rockwell Automation United States. </w:t>
      </w:r>
      <w:r>
        <w:rPr>
          <w:i/>
          <w:iCs/>
        </w:rPr>
        <w:t>Rockwell Automation</w:t>
      </w:r>
      <w:r>
        <w:rPr/>
        <w:t>. https://www.rockwellautomation.com/en-us/company/news/blogs/reduce-variability-to-improve-capacity-and-quality.html</w:t>
      </w:r>
    </w:p>
    <w:p>
      <w:pPr>
        <w:pStyle w:val="Normal"/>
        <w:widowControl/>
        <w:bidi w:val="0"/>
        <w:spacing w:lineRule="auto" w:line="259" w:before="0" w:after="160"/>
        <w:jc w:val="left"/>
        <w:rPr/>
      </w:pPr>
      <w:r>
        <w:rPr/>
      </w:r>
    </w:p>
    <w:sectPr>
      <w:headerReference w:type="default" r:id="rId2"/>
      <w:type w:val="nextPage"/>
      <w:pgSz w:w="12240" w:h="15840"/>
      <w:pgMar w:left="1440" w:right="1440" w:header="72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Calibri">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811787108"/>
    </w:sdtPr>
    <w:sdtContent>
      <w:p>
        <w:pPr>
          <w:pStyle w:val="Header"/>
          <w:jc w:val="right"/>
          <w:rPr/>
        </w:pPr>
        <w:r>
          <w:rPr>
            <w:rFonts w:cs="Times New Roman" w:ascii="Times New Roman" w:hAnsi="Times New Roman"/>
            <w:sz w:val="24"/>
            <w:szCs w:val="24"/>
          </w:rPr>
          <w:t>Mccollough</w:t>
        </w:r>
        <w:r>
          <w:rPr>
            <w:rFonts w:cs="Times New Roman" w:ascii="Times New Roman" w:hAnsi="Times New Roman"/>
            <w:sz w:val="24"/>
            <w:szCs w:val="24"/>
          </w:rPr>
          <w:t xml:space="preserve"> </w:t>
        </w:r>
        <w:r>
          <w:rPr>
            <w:rFonts w:cs="Times New Roman" w:ascii="Times New Roman" w:hAnsi="Times New Roman"/>
            <w:sz w:val="24"/>
            <w:szCs w:val="24"/>
          </w:rPr>
          <w:fldChar w:fldCharType="begin"/>
        </w:r>
        <w:r>
          <w:rPr>
            <w:sz w:val="24"/>
            <w:szCs w:val="24"/>
            <w:rFonts w:cs="Times New Roman" w:ascii="Times New Roman" w:hAnsi="Times New Roman"/>
          </w:rPr>
          <w:instrText>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p>
        <w:pPr>
          <w:pStyle w:val="Header"/>
          <w:rPr/>
        </w:pPr>
        <w:r>
          <w:rPr/>
        </w:r>
      </w:p>
    </w:sdtContent>
  </w:sdt>
</w:hdr>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876ec7"/>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Style14" w:customStyle="1">
    <w:name w:val="Верхній колонтитул Знак"/>
    <w:basedOn w:val="DefaultParagraphFont"/>
    <w:link w:val="a3"/>
    <w:uiPriority w:val="99"/>
    <w:qFormat/>
    <w:rsid w:val="00876ec7"/>
    <w:rPr/>
  </w:style>
  <w:style w:type="paragraph" w:styleId="Heading">
    <w:name w:val="Heading"/>
    <w:basedOn w:val="Normal"/>
    <w:next w:val="TextBody"/>
    <w:qFormat/>
    <w:pPr>
      <w:keepNext w:val="true"/>
      <w:spacing w:before="240" w:after="120"/>
    </w:pPr>
    <w:rPr>
      <w:rFonts w:ascii="Arial" w:hAnsi="Arial"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eader">
    <w:name w:val="Header"/>
    <w:basedOn w:val="Normal"/>
    <w:link w:val="a4"/>
    <w:uiPriority w:val="99"/>
    <w:unhideWhenUsed/>
    <w:rsid w:val="00876ec7"/>
    <w:pPr>
      <w:tabs>
        <w:tab w:val="clear" w:pos="720"/>
        <w:tab w:val="center" w:pos="4680" w:leader="none"/>
        <w:tab w:val="right" w:pos="9360" w:leader="none"/>
      </w:tabs>
      <w:spacing w:lineRule="auto" w:line="240" w:before="0" w:after="0"/>
    </w:pPr>
    <w:rPr/>
  </w:style>
  <w:style w:type="paragraph" w:styleId="NormalWeb">
    <w:name w:val="Normal (Web)"/>
    <w:basedOn w:val="Normal"/>
    <w:uiPriority w:val="99"/>
    <w:semiHidden/>
    <w:unhideWhenUsed/>
    <w:qFormat/>
    <w:rsid w:val="00043aa1"/>
    <w:pPr>
      <w:spacing w:lineRule="auto" w:line="240" w:beforeAutospacing="1" w:afterAutospacing="1"/>
    </w:pPr>
    <w:rPr>
      <w:rFonts w:ascii="Times New Roman" w:hAnsi="Times New Roman" w:eastAsia="Times New Roman" w:cs="Times New Roman"/>
      <w:sz w:val="24"/>
      <w:szCs w:val="24"/>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Application>Trio_Office/6.2.8.2$Windows_x86 LibreOffice_project/</Application>
  <Pages>3</Pages>
  <Words>562</Words>
  <Characters>3663</Characters>
  <CharactersWithSpaces>4208</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2022-02-20T13:23:00Z</dcterms:created>
  <dc:creator>Ivanna</dc:creator>
  <dc:description/>
  <dc:language>en-US</dc:language>
  <cp:lastModifiedBy/>
  <dcterms:modified xsi:type="dcterms:W3CDTF">2022-02-20T07:30:24Z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